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308" w:type="dxa"/>
        <w:jc w:val="center"/>
        <w:tblLayout w:type="fixed"/>
        <w:tblLook w:val="04A0" w:firstRow="1" w:lastRow="0" w:firstColumn="1" w:lastColumn="0" w:noHBand="0" w:noVBand="1"/>
      </w:tblPr>
      <w:tblGrid>
        <w:gridCol w:w="1350"/>
        <w:gridCol w:w="2880"/>
        <w:gridCol w:w="2520"/>
        <w:gridCol w:w="2948"/>
        <w:gridCol w:w="2610"/>
      </w:tblGrid>
      <w:tr w:rsidR="00AE0838" w:rsidTr="00AE0838">
        <w:trPr>
          <w:jc w:val="center"/>
        </w:trPr>
        <w:tc>
          <w:tcPr>
            <w:tcW w:w="1350" w:type="dxa"/>
          </w:tcPr>
          <w:p w:rsidR="00AE0838" w:rsidRDefault="00AE0838">
            <w:pPr>
              <w:rPr>
                <w:b/>
              </w:rPr>
            </w:pPr>
            <w:r>
              <w:rPr>
                <w:b/>
              </w:rPr>
              <w:t>9:00-9:50</w:t>
            </w:r>
          </w:p>
          <w:p w:rsidR="00AE0838" w:rsidRPr="00622A32" w:rsidRDefault="00AE0838">
            <w:pPr>
              <w:rPr>
                <w:b/>
              </w:rPr>
            </w:pPr>
          </w:p>
        </w:tc>
        <w:tc>
          <w:tcPr>
            <w:tcW w:w="2880" w:type="dxa"/>
          </w:tcPr>
          <w:p w:rsidR="00AE0838" w:rsidRDefault="00AE0838" w:rsidP="00FD691F">
            <w:pPr>
              <w:rPr>
                <w:rFonts w:eastAsia="Times New Roman" w:cstheme="minorHAnsi"/>
                <w:b/>
                <w:sz w:val="20"/>
                <w:szCs w:val="20"/>
              </w:rPr>
            </w:pPr>
            <w:r>
              <w:rPr>
                <w:rFonts w:eastAsia="Times New Roman" w:cstheme="minorHAnsi"/>
                <w:b/>
                <w:sz w:val="20"/>
                <w:szCs w:val="20"/>
              </w:rPr>
              <w:t xml:space="preserve">Plenary Session </w:t>
            </w:r>
          </w:p>
          <w:p w:rsidR="00AE0838" w:rsidRDefault="00AE0838" w:rsidP="00FD691F">
            <w:pPr>
              <w:rPr>
                <w:rFonts w:eastAsia="Times New Roman" w:cstheme="minorHAnsi"/>
                <w:b/>
                <w:sz w:val="20"/>
                <w:szCs w:val="20"/>
              </w:rPr>
            </w:pPr>
            <w:r>
              <w:rPr>
                <w:rFonts w:eastAsia="Times New Roman" w:cstheme="minorHAnsi"/>
                <w:b/>
                <w:sz w:val="20"/>
                <w:szCs w:val="20"/>
              </w:rPr>
              <w:t>(Poetry Slam)—Room 002</w:t>
            </w:r>
          </w:p>
        </w:tc>
        <w:tc>
          <w:tcPr>
            <w:tcW w:w="2520" w:type="dxa"/>
          </w:tcPr>
          <w:p w:rsidR="00AE0838" w:rsidRDefault="00AE0838" w:rsidP="00FD691F">
            <w:pPr>
              <w:rPr>
                <w:rFonts w:eastAsia="Times New Roman" w:cstheme="minorHAnsi"/>
                <w:b/>
                <w:sz w:val="20"/>
                <w:szCs w:val="20"/>
              </w:rPr>
            </w:pPr>
            <w:r>
              <w:rPr>
                <w:rFonts w:eastAsia="Times New Roman" w:cstheme="minorHAnsi"/>
                <w:b/>
                <w:sz w:val="20"/>
                <w:szCs w:val="20"/>
              </w:rPr>
              <w:t xml:space="preserve">Plenary Session </w:t>
            </w:r>
          </w:p>
          <w:p w:rsidR="00AE0838" w:rsidRPr="008C3B8B" w:rsidRDefault="00AE0838" w:rsidP="00FD691F">
            <w:pPr>
              <w:rPr>
                <w:rFonts w:eastAsia="Times New Roman" w:cstheme="minorHAnsi"/>
                <w:b/>
                <w:sz w:val="20"/>
                <w:szCs w:val="20"/>
              </w:rPr>
            </w:pPr>
            <w:r>
              <w:rPr>
                <w:rFonts w:eastAsia="Times New Roman" w:cstheme="minorHAnsi"/>
                <w:b/>
                <w:sz w:val="20"/>
                <w:szCs w:val="20"/>
              </w:rPr>
              <w:t>(Poetry Slam)—Room 002</w:t>
            </w:r>
          </w:p>
        </w:tc>
        <w:tc>
          <w:tcPr>
            <w:tcW w:w="2948" w:type="dxa"/>
          </w:tcPr>
          <w:p w:rsidR="00AE0838" w:rsidRDefault="00AE0838">
            <w:pPr>
              <w:rPr>
                <w:b/>
                <w:sz w:val="20"/>
                <w:szCs w:val="20"/>
              </w:rPr>
            </w:pPr>
            <w:r w:rsidRPr="00622A32">
              <w:rPr>
                <w:b/>
                <w:sz w:val="20"/>
                <w:szCs w:val="20"/>
              </w:rPr>
              <w:t>Plenary Session</w:t>
            </w:r>
          </w:p>
          <w:p w:rsidR="00AE0838" w:rsidRDefault="00AE0838">
            <w:pPr>
              <w:rPr>
                <w:b/>
                <w:sz w:val="20"/>
                <w:szCs w:val="20"/>
              </w:rPr>
            </w:pPr>
          </w:p>
          <w:p w:rsidR="00AE0838" w:rsidRPr="00622A32" w:rsidRDefault="00AE0838">
            <w:pPr>
              <w:rPr>
                <w:b/>
                <w:sz w:val="20"/>
                <w:szCs w:val="20"/>
              </w:rPr>
            </w:pPr>
            <w:r>
              <w:rPr>
                <w:b/>
                <w:sz w:val="20"/>
                <w:szCs w:val="20"/>
              </w:rPr>
              <w:t xml:space="preserve"> (Poetry Slam)—Room 002</w:t>
            </w:r>
          </w:p>
        </w:tc>
        <w:tc>
          <w:tcPr>
            <w:tcW w:w="2610" w:type="dxa"/>
          </w:tcPr>
          <w:p w:rsidR="00AE0838" w:rsidRDefault="00AE0838">
            <w:pPr>
              <w:rPr>
                <w:b/>
                <w:sz w:val="20"/>
                <w:szCs w:val="20"/>
              </w:rPr>
            </w:pPr>
            <w:r w:rsidRPr="00622A32">
              <w:rPr>
                <w:b/>
                <w:sz w:val="20"/>
                <w:szCs w:val="20"/>
              </w:rPr>
              <w:t>Plenary Session</w:t>
            </w:r>
            <w:r>
              <w:rPr>
                <w:b/>
                <w:sz w:val="20"/>
                <w:szCs w:val="20"/>
              </w:rPr>
              <w:t xml:space="preserve"> </w:t>
            </w:r>
          </w:p>
          <w:p w:rsidR="00AE0838" w:rsidRPr="00622A32" w:rsidRDefault="00AE0838">
            <w:pPr>
              <w:rPr>
                <w:b/>
                <w:sz w:val="20"/>
                <w:szCs w:val="20"/>
              </w:rPr>
            </w:pPr>
            <w:r>
              <w:rPr>
                <w:b/>
                <w:sz w:val="20"/>
                <w:szCs w:val="20"/>
              </w:rPr>
              <w:t>(Poetry Slam)—Room 002</w:t>
            </w:r>
          </w:p>
        </w:tc>
      </w:tr>
      <w:tr w:rsidR="00AE0838" w:rsidTr="00AE0838">
        <w:trPr>
          <w:jc w:val="center"/>
        </w:trPr>
        <w:tc>
          <w:tcPr>
            <w:tcW w:w="1350" w:type="dxa"/>
          </w:tcPr>
          <w:p w:rsidR="00AE0838" w:rsidRDefault="00AE0838">
            <w:pPr>
              <w:rPr>
                <w:b/>
              </w:rPr>
            </w:pPr>
            <w:r w:rsidRPr="00622A32">
              <w:rPr>
                <w:b/>
              </w:rPr>
              <w:t>10:00-10:50</w:t>
            </w:r>
          </w:p>
          <w:p w:rsidR="00AE0838" w:rsidRDefault="00AE0838">
            <w:pPr>
              <w:rPr>
                <w:b/>
              </w:rPr>
            </w:pPr>
          </w:p>
          <w:p w:rsidR="00AE0838" w:rsidRDefault="00AE0838">
            <w:pPr>
              <w:rPr>
                <w:b/>
              </w:rPr>
            </w:pPr>
          </w:p>
          <w:p w:rsidR="00AE0838" w:rsidRDefault="00AE0838">
            <w:pPr>
              <w:rPr>
                <w:b/>
              </w:rPr>
            </w:pPr>
          </w:p>
          <w:p w:rsidR="00AE0838" w:rsidRPr="00622A32" w:rsidRDefault="00AE0838">
            <w:pPr>
              <w:rPr>
                <w:b/>
              </w:rPr>
            </w:pPr>
          </w:p>
        </w:tc>
        <w:tc>
          <w:tcPr>
            <w:tcW w:w="2880" w:type="dxa"/>
          </w:tcPr>
          <w:p w:rsidR="00AE0838" w:rsidRPr="008C3B8B" w:rsidRDefault="00AE0838" w:rsidP="00DA38E3">
            <w:pPr>
              <w:rPr>
                <w:rFonts w:eastAsia="Times New Roman" w:cstheme="minorHAnsi"/>
                <w:sz w:val="20"/>
                <w:szCs w:val="20"/>
              </w:rPr>
            </w:pPr>
            <w:r w:rsidRPr="00D539CC">
              <w:rPr>
                <w:rFonts w:eastAsia="Times New Roman" w:cstheme="minorHAnsi"/>
                <w:b/>
                <w:sz w:val="20"/>
                <w:szCs w:val="20"/>
              </w:rPr>
              <w:t>“Primary Writing Instruction”</w:t>
            </w:r>
            <w:r>
              <w:rPr>
                <w:rFonts w:eastAsia="Times New Roman" w:cstheme="minorHAnsi"/>
                <w:sz w:val="20"/>
                <w:szCs w:val="20"/>
              </w:rPr>
              <w:t xml:space="preserve"> -</w:t>
            </w:r>
          </w:p>
          <w:p w:rsidR="00AE0838" w:rsidRDefault="00AE0838" w:rsidP="00FD691F">
            <w:pPr>
              <w:rPr>
                <w:rFonts w:eastAsia="Times New Roman" w:cstheme="minorHAnsi"/>
                <w:sz w:val="20"/>
                <w:szCs w:val="20"/>
              </w:rPr>
            </w:pPr>
            <w:r w:rsidRPr="008C3B8B">
              <w:rPr>
                <w:rFonts w:eastAsia="Times New Roman" w:cstheme="minorHAnsi"/>
                <w:sz w:val="20"/>
                <w:szCs w:val="20"/>
              </w:rPr>
              <w:t xml:space="preserve"> </w:t>
            </w:r>
            <w:r w:rsidRPr="004D73F8">
              <w:rPr>
                <w:rFonts w:eastAsia="Times New Roman" w:cstheme="minorHAnsi"/>
                <w:sz w:val="20"/>
                <w:szCs w:val="20"/>
              </w:rPr>
              <w:t>A primary focus for engaging young students across the curriculum.</w:t>
            </w:r>
          </w:p>
          <w:p w:rsidR="00AE0838" w:rsidRDefault="00AE0838" w:rsidP="00FD691F">
            <w:pPr>
              <w:rPr>
                <w:rFonts w:eastAsia="Times New Roman" w:cstheme="minorHAnsi"/>
                <w:sz w:val="20"/>
                <w:szCs w:val="20"/>
              </w:rPr>
            </w:pPr>
            <w:r w:rsidRPr="004D73F8">
              <w:rPr>
                <w:rFonts w:eastAsia="Times New Roman" w:cstheme="minorHAnsi"/>
                <w:b/>
                <w:sz w:val="20"/>
                <w:szCs w:val="20"/>
              </w:rPr>
              <w:t>Presenters</w:t>
            </w:r>
            <w:r>
              <w:rPr>
                <w:rFonts w:eastAsia="Times New Roman" w:cstheme="minorHAnsi"/>
                <w:sz w:val="20"/>
                <w:szCs w:val="20"/>
              </w:rPr>
              <w:t xml:space="preserve">: </w:t>
            </w:r>
            <w:proofErr w:type="spellStart"/>
            <w:r>
              <w:rPr>
                <w:rFonts w:eastAsia="Times New Roman" w:cstheme="minorHAnsi"/>
                <w:sz w:val="20"/>
                <w:szCs w:val="20"/>
              </w:rPr>
              <w:t>Brandis</w:t>
            </w:r>
            <w:proofErr w:type="spellEnd"/>
            <w:r>
              <w:rPr>
                <w:rFonts w:eastAsia="Times New Roman" w:cstheme="minorHAnsi"/>
                <w:sz w:val="20"/>
                <w:szCs w:val="20"/>
              </w:rPr>
              <w:t xml:space="preserve"> Carlson (room 202b)</w:t>
            </w:r>
          </w:p>
          <w:p w:rsidR="00AE0838" w:rsidRDefault="00AE0838"/>
          <w:p w:rsidR="00AE0838" w:rsidRPr="005D0BE6" w:rsidRDefault="00AE0838">
            <w:pPr>
              <w:rPr>
                <w:b/>
              </w:rPr>
            </w:pPr>
          </w:p>
        </w:tc>
        <w:tc>
          <w:tcPr>
            <w:tcW w:w="2520" w:type="dxa"/>
          </w:tcPr>
          <w:p w:rsidR="007A697E" w:rsidRDefault="007A697E" w:rsidP="007A697E">
            <w:pPr>
              <w:rPr>
                <w:sz w:val="20"/>
                <w:szCs w:val="20"/>
              </w:rPr>
            </w:pPr>
            <w:r>
              <w:rPr>
                <w:b/>
                <w:sz w:val="20"/>
                <w:szCs w:val="20"/>
              </w:rPr>
              <w:t xml:space="preserve">“Integrating Art and Literacy Into the Classroom” – </w:t>
            </w:r>
            <w:r>
              <w:rPr>
                <w:sz w:val="20"/>
                <w:szCs w:val="20"/>
              </w:rPr>
              <w:t xml:space="preserve">A session that will focus on using art to support literacy in the classroom.  The session will also address how such an approach will help meet program review for Arts and Humanities and Writing.   </w:t>
            </w:r>
          </w:p>
          <w:p w:rsidR="007A697E" w:rsidRDefault="007A697E" w:rsidP="007A697E">
            <w:pPr>
              <w:rPr>
                <w:sz w:val="20"/>
                <w:szCs w:val="20"/>
              </w:rPr>
            </w:pPr>
          </w:p>
          <w:p w:rsidR="00AE0838" w:rsidRPr="007A697E" w:rsidRDefault="007A697E" w:rsidP="007A697E">
            <w:pPr>
              <w:rPr>
                <w:rFonts w:eastAsia="Times New Roman" w:cstheme="minorHAnsi"/>
                <w:sz w:val="20"/>
                <w:szCs w:val="20"/>
              </w:rPr>
            </w:pPr>
            <w:r>
              <w:rPr>
                <w:b/>
                <w:sz w:val="20"/>
                <w:szCs w:val="20"/>
              </w:rPr>
              <w:t xml:space="preserve">Presenter:  </w:t>
            </w:r>
            <w:r>
              <w:rPr>
                <w:sz w:val="20"/>
                <w:szCs w:val="20"/>
              </w:rPr>
              <w:t>John Ramey</w:t>
            </w:r>
            <w:r>
              <w:rPr>
                <w:sz w:val="20"/>
                <w:szCs w:val="20"/>
              </w:rPr>
              <w:br/>
            </w:r>
          </w:p>
        </w:tc>
        <w:tc>
          <w:tcPr>
            <w:tcW w:w="2948" w:type="dxa"/>
          </w:tcPr>
          <w:p w:rsidR="00AE0838" w:rsidRDefault="00AE0838" w:rsidP="00AE0838">
            <w:pPr>
              <w:rPr>
                <w:sz w:val="20"/>
                <w:szCs w:val="20"/>
              </w:rPr>
            </w:pPr>
            <w:r>
              <w:rPr>
                <w:b/>
                <w:sz w:val="20"/>
                <w:szCs w:val="20"/>
              </w:rPr>
              <w:t xml:space="preserve">“Technical Writing in the Classroom” </w:t>
            </w:r>
            <w:r>
              <w:rPr>
                <w:sz w:val="20"/>
                <w:szCs w:val="20"/>
              </w:rPr>
              <w:t>– This session will include the importance of technical writing, lesson demonstrations, as well as program review and diverse content area application</w:t>
            </w:r>
          </w:p>
          <w:p w:rsidR="00AE0838" w:rsidRPr="00AE0838" w:rsidRDefault="00AE0838" w:rsidP="00AE0838">
            <w:pPr>
              <w:rPr>
                <w:sz w:val="20"/>
                <w:szCs w:val="20"/>
              </w:rPr>
            </w:pPr>
            <w:r>
              <w:rPr>
                <w:b/>
                <w:sz w:val="20"/>
                <w:szCs w:val="20"/>
              </w:rPr>
              <w:t xml:space="preserve">Presenter:  </w:t>
            </w:r>
            <w:r>
              <w:rPr>
                <w:sz w:val="20"/>
                <w:szCs w:val="20"/>
              </w:rPr>
              <w:t>Wendy Potter</w:t>
            </w:r>
          </w:p>
        </w:tc>
        <w:tc>
          <w:tcPr>
            <w:tcW w:w="2610" w:type="dxa"/>
          </w:tcPr>
          <w:p w:rsidR="00AE0838" w:rsidRDefault="00DB74EB" w:rsidP="00F2784A">
            <w:pPr>
              <w:rPr>
                <w:sz w:val="20"/>
                <w:szCs w:val="20"/>
              </w:rPr>
            </w:pPr>
            <w:r>
              <w:rPr>
                <w:b/>
                <w:sz w:val="20"/>
                <w:szCs w:val="20"/>
              </w:rPr>
              <w:t xml:space="preserve">“Shaping the Draft” – </w:t>
            </w:r>
            <w:r>
              <w:rPr>
                <w:sz w:val="20"/>
                <w:szCs w:val="20"/>
              </w:rPr>
              <w:t xml:space="preserve">In this presentation, poet George </w:t>
            </w:r>
            <w:proofErr w:type="spellStart"/>
            <w:r>
              <w:rPr>
                <w:sz w:val="20"/>
                <w:szCs w:val="20"/>
              </w:rPr>
              <w:t>Eklund</w:t>
            </w:r>
            <w:proofErr w:type="spellEnd"/>
            <w:r>
              <w:rPr>
                <w:sz w:val="20"/>
                <w:szCs w:val="20"/>
              </w:rPr>
              <w:t xml:space="preserve"> presents an exercise in moving from guided </w:t>
            </w:r>
            <w:proofErr w:type="spellStart"/>
            <w:r>
              <w:rPr>
                <w:sz w:val="20"/>
                <w:szCs w:val="20"/>
              </w:rPr>
              <w:t>freewriting</w:t>
            </w:r>
            <w:proofErr w:type="spellEnd"/>
            <w:r>
              <w:rPr>
                <w:sz w:val="20"/>
                <w:szCs w:val="20"/>
              </w:rPr>
              <w:t xml:space="preserve"> to draft development in multiple genres.  </w:t>
            </w:r>
          </w:p>
          <w:p w:rsidR="00DB74EB" w:rsidRDefault="00DB74EB" w:rsidP="00F2784A">
            <w:pPr>
              <w:rPr>
                <w:sz w:val="20"/>
                <w:szCs w:val="20"/>
              </w:rPr>
            </w:pPr>
          </w:p>
          <w:p w:rsidR="00DB74EB" w:rsidRPr="00DB74EB" w:rsidRDefault="00DB74EB" w:rsidP="00F2784A">
            <w:pPr>
              <w:rPr>
                <w:sz w:val="20"/>
                <w:szCs w:val="20"/>
              </w:rPr>
            </w:pPr>
            <w:r>
              <w:rPr>
                <w:b/>
                <w:sz w:val="20"/>
                <w:szCs w:val="20"/>
              </w:rPr>
              <w:t xml:space="preserve">Presenter: </w:t>
            </w:r>
            <w:r>
              <w:rPr>
                <w:sz w:val="20"/>
                <w:szCs w:val="20"/>
              </w:rPr>
              <w:t xml:space="preserve">George </w:t>
            </w:r>
            <w:proofErr w:type="spellStart"/>
            <w:r>
              <w:rPr>
                <w:sz w:val="20"/>
                <w:szCs w:val="20"/>
              </w:rPr>
              <w:t>Eklund</w:t>
            </w:r>
            <w:proofErr w:type="spellEnd"/>
          </w:p>
          <w:p w:rsidR="00AE0838" w:rsidRPr="00F2784A" w:rsidRDefault="00AE0838" w:rsidP="00F2784A">
            <w:pPr>
              <w:rPr>
                <w:sz w:val="20"/>
                <w:szCs w:val="20"/>
              </w:rPr>
            </w:pPr>
          </w:p>
        </w:tc>
      </w:tr>
      <w:tr w:rsidR="00AE0838" w:rsidTr="00AE0838">
        <w:trPr>
          <w:jc w:val="center"/>
        </w:trPr>
        <w:tc>
          <w:tcPr>
            <w:tcW w:w="1350" w:type="dxa"/>
          </w:tcPr>
          <w:p w:rsidR="00AE0838" w:rsidRDefault="00AE0838">
            <w:pPr>
              <w:rPr>
                <w:b/>
              </w:rPr>
            </w:pPr>
            <w:r w:rsidRPr="00622A32">
              <w:rPr>
                <w:b/>
              </w:rPr>
              <w:t>11:00-11:50</w:t>
            </w:r>
          </w:p>
          <w:p w:rsidR="00AE0838" w:rsidRDefault="00AE0838">
            <w:pPr>
              <w:rPr>
                <w:b/>
              </w:rPr>
            </w:pPr>
          </w:p>
          <w:p w:rsidR="00AE0838" w:rsidRDefault="00AE0838">
            <w:pPr>
              <w:rPr>
                <w:b/>
              </w:rPr>
            </w:pPr>
          </w:p>
          <w:p w:rsidR="00AE0838" w:rsidRPr="00622A32" w:rsidRDefault="00AE0838">
            <w:pPr>
              <w:rPr>
                <w:b/>
              </w:rPr>
            </w:pPr>
          </w:p>
        </w:tc>
        <w:tc>
          <w:tcPr>
            <w:tcW w:w="2880" w:type="dxa"/>
          </w:tcPr>
          <w:p w:rsidR="00C725C9" w:rsidRDefault="00AE0838" w:rsidP="00C725C9">
            <w:pPr>
              <w:rPr>
                <w:sz w:val="20"/>
                <w:szCs w:val="20"/>
              </w:rPr>
            </w:pPr>
            <w:r w:rsidRPr="00927889">
              <w:rPr>
                <w:b/>
                <w:sz w:val="20"/>
                <w:szCs w:val="20"/>
              </w:rPr>
              <w:t>“</w:t>
            </w:r>
            <w:r w:rsidR="00C725C9">
              <w:rPr>
                <w:b/>
                <w:sz w:val="20"/>
                <w:szCs w:val="20"/>
              </w:rPr>
              <w:t>A Bird’s Eye View:  Point of View in Poe’s ‘The Raven’</w:t>
            </w:r>
            <w:r w:rsidR="00C725C9">
              <w:rPr>
                <w:sz w:val="20"/>
                <w:szCs w:val="20"/>
              </w:rPr>
              <w:t>” – Attendees will be given the tools for a lesson on point of view using the sensory details provided in Poe’s “The Raven.”</w:t>
            </w:r>
            <w:r w:rsidR="006860EF">
              <w:rPr>
                <w:sz w:val="20"/>
                <w:szCs w:val="20"/>
              </w:rPr>
              <w:t xml:space="preserve">  Participants</w:t>
            </w:r>
            <w:r w:rsidR="00C725C9">
              <w:rPr>
                <w:sz w:val="20"/>
                <w:szCs w:val="20"/>
              </w:rPr>
              <w:t xml:space="preserve"> will engage in descriptive writing, considering the poem from the perspective of the raven</w:t>
            </w:r>
          </w:p>
          <w:p w:rsidR="00AE0838" w:rsidRPr="001C1AAB" w:rsidRDefault="00C725C9" w:rsidP="00C725C9">
            <w:pPr>
              <w:rPr>
                <w:sz w:val="20"/>
                <w:szCs w:val="20"/>
              </w:rPr>
            </w:pPr>
            <w:r>
              <w:rPr>
                <w:sz w:val="20"/>
                <w:szCs w:val="20"/>
              </w:rPr>
              <w:t xml:space="preserve"> </w:t>
            </w:r>
            <w:r w:rsidR="00AE0838" w:rsidRPr="00927889">
              <w:rPr>
                <w:b/>
                <w:sz w:val="20"/>
                <w:szCs w:val="20"/>
              </w:rPr>
              <w:t>Presenters</w:t>
            </w:r>
            <w:r w:rsidR="00AE0838" w:rsidRPr="00927889">
              <w:rPr>
                <w:sz w:val="20"/>
                <w:szCs w:val="20"/>
              </w:rPr>
              <w:t>:</w:t>
            </w:r>
            <w:r>
              <w:rPr>
                <w:sz w:val="20"/>
                <w:szCs w:val="20"/>
              </w:rPr>
              <w:t xml:space="preserve"> Megan </w:t>
            </w:r>
            <w:proofErr w:type="spellStart"/>
            <w:r>
              <w:rPr>
                <w:sz w:val="20"/>
                <w:szCs w:val="20"/>
              </w:rPr>
              <w:t>Smedley</w:t>
            </w:r>
            <w:proofErr w:type="spellEnd"/>
          </w:p>
        </w:tc>
        <w:tc>
          <w:tcPr>
            <w:tcW w:w="2520" w:type="dxa"/>
          </w:tcPr>
          <w:p w:rsidR="00AE0838" w:rsidRDefault="00AE0838" w:rsidP="00457D4B">
            <w:pPr>
              <w:rPr>
                <w:rFonts w:eastAsia="Times New Roman" w:cstheme="minorHAnsi"/>
                <w:sz w:val="20"/>
                <w:szCs w:val="20"/>
              </w:rPr>
            </w:pPr>
            <w:r>
              <w:rPr>
                <w:rFonts w:eastAsia="Times New Roman" w:cstheme="minorHAnsi"/>
                <w:b/>
                <w:sz w:val="20"/>
                <w:szCs w:val="20"/>
              </w:rPr>
              <w:t>“</w:t>
            </w:r>
            <w:r w:rsidR="00B13105">
              <w:rPr>
                <w:rFonts w:eastAsia="Times New Roman" w:cstheme="minorHAnsi"/>
                <w:b/>
                <w:sz w:val="20"/>
                <w:szCs w:val="20"/>
              </w:rPr>
              <w:t>Monster-</w:t>
            </w:r>
            <w:proofErr w:type="spellStart"/>
            <w:r w:rsidR="00B13105">
              <w:rPr>
                <w:rFonts w:eastAsia="Times New Roman" w:cstheme="minorHAnsi"/>
                <w:b/>
                <w:sz w:val="20"/>
                <w:szCs w:val="20"/>
              </w:rPr>
              <w:t>ous</w:t>
            </w:r>
            <w:proofErr w:type="spellEnd"/>
            <w:r w:rsidR="00B13105">
              <w:rPr>
                <w:rFonts w:eastAsia="Times New Roman" w:cstheme="minorHAnsi"/>
                <w:b/>
                <w:sz w:val="20"/>
                <w:szCs w:val="20"/>
              </w:rPr>
              <w:t xml:space="preserve"> Descriptive Writing</w:t>
            </w:r>
            <w:r>
              <w:rPr>
                <w:rFonts w:eastAsia="Times New Roman" w:cstheme="minorHAnsi"/>
                <w:b/>
                <w:sz w:val="20"/>
                <w:szCs w:val="20"/>
              </w:rPr>
              <w:t xml:space="preserve">” – </w:t>
            </w:r>
            <w:r w:rsidR="00F77C4E">
              <w:rPr>
                <w:rFonts w:eastAsia="Times New Roman" w:cstheme="minorHAnsi"/>
                <w:sz w:val="20"/>
                <w:szCs w:val="20"/>
              </w:rPr>
              <w:t>A session devoted to teaching students to include more d</w:t>
            </w:r>
            <w:r w:rsidR="00C863C0">
              <w:rPr>
                <w:rFonts w:eastAsia="Times New Roman" w:cstheme="minorHAnsi"/>
                <w:sz w:val="20"/>
                <w:szCs w:val="20"/>
              </w:rPr>
              <w:t xml:space="preserve">escriptive details in their writing.  </w:t>
            </w:r>
          </w:p>
          <w:p w:rsidR="00AE0838" w:rsidRDefault="00AE0838" w:rsidP="00457D4B">
            <w:pPr>
              <w:rPr>
                <w:rFonts w:eastAsia="Times New Roman" w:cstheme="minorHAnsi"/>
                <w:sz w:val="20"/>
                <w:szCs w:val="20"/>
              </w:rPr>
            </w:pPr>
          </w:p>
          <w:p w:rsidR="00AE0838" w:rsidRPr="00822C13" w:rsidRDefault="00AE0838" w:rsidP="00457D4B">
            <w:pPr>
              <w:rPr>
                <w:rFonts w:eastAsia="Times New Roman" w:cstheme="minorHAnsi"/>
                <w:sz w:val="20"/>
                <w:szCs w:val="20"/>
              </w:rPr>
            </w:pPr>
            <w:r>
              <w:rPr>
                <w:rFonts w:eastAsia="Times New Roman" w:cstheme="minorHAnsi"/>
                <w:b/>
                <w:sz w:val="20"/>
                <w:szCs w:val="20"/>
              </w:rPr>
              <w:t xml:space="preserve">Presenter: </w:t>
            </w:r>
            <w:r w:rsidR="00F77C4E">
              <w:rPr>
                <w:rFonts w:eastAsia="Times New Roman" w:cstheme="minorHAnsi"/>
                <w:sz w:val="20"/>
                <w:szCs w:val="20"/>
              </w:rPr>
              <w:t xml:space="preserve">Diana </w:t>
            </w:r>
            <w:proofErr w:type="spellStart"/>
            <w:r w:rsidR="00F77C4E">
              <w:rPr>
                <w:rFonts w:eastAsia="Times New Roman" w:cstheme="minorHAnsi"/>
                <w:sz w:val="20"/>
                <w:szCs w:val="20"/>
              </w:rPr>
              <w:t>Goodpaster</w:t>
            </w:r>
            <w:proofErr w:type="spellEnd"/>
            <w:r w:rsidR="00F77C4E">
              <w:rPr>
                <w:rFonts w:eastAsia="Times New Roman" w:cstheme="minorHAnsi"/>
                <w:sz w:val="20"/>
                <w:szCs w:val="20"/>
              </w:rPr>
              <w:t xml:space="preserve"> </w:t>
            </w:r>
          </w:p>
          <w:p w:rsidR="00AE0838" w:rsidRPr="00812EFD" w:rsidRDefault="00AE0838" w:rsidP="00457D4B">
            <w:pPr>
              <w:rPr>
                <w:b/>
                <w:color w:val="FF0000"/>
                <w:sz w:val="40"/>
                <w:szCs w:val="40"/>
              </w:rPr>
            </w:pPr>
          </w:p>
        </w:tc>
        <w:tc>
          <w:tcPr>
            <w:tcW w:w="2948" w:type="dxa"/>
          </w:tcPr>
          <w:p w:rsidR="00AE0838" w:rsidRDefault="00E21999" w:rsidP="00457D4B">
            <w:pPr>
              <w:rPr>
                <w:sz w:val="20"/>
                <w:szCs w:val="20"/>
              </w:rPr>
            </w:pPr>
            <w:r>
              <w:rPr>
                <w:b/>
                <w:sz w:val="20"/>
                <w:szCs w:val="20"/>
              </w:rPr>
              <w:t>“Inspiring Student Writing</w:t>
            </w:r>
            <w:r w:rsidR="00AE0838">
              <w:rPr>
                <w:b/>
                <w:sz w:val="20"/>
                <w:szCs w:val="20"/>
              </w:rPr>
              <w:t xml:space="preserve">”— </w:t>
            </w:r>
            <w:r>
              <w:rPr>
                <w:sz w:val="20"/>
                <w:szCs w:val="20"/>
              </w:rPr>
              <w:t xml:space="preserve">A session that will utilize a variety of prompts (pictures, writing, art, etc.) to inspire creative writing.  </w:t>
            </w:r>
          </w:p>
          <w:p w:rsidR="00AE0838" w:rsidRDefault="00AE0838" w:rsidP="00457D4B">
            <w:pPr>
              <w:rPr>
                <w:sz w:val="20"/>
                <w:szCs w:val="20"/>
              </w:rPr>
            </w:pPr>
          </w:p>
          <w:p w:rsidR="00AE0838" w:rsidRPr="00DF5364" w:rsidRDefault="00AE0838" w:rsidP="00457D4B">
            <w:pPr>
              <w:rPr>
                <w:sz w:val="20"/>
                <w:szCs w:val="20"/>
              </w:rPr>
            </w:pPr>
            <w:r>
              <w:rPr>
                <w:b/>
                <w:sz w:val="20"/>
                <w:szCs w:val="20"/>
              </w:rPr>
              <w:t xml:space="preserve">Presenter: </w:t>
            </w:r>
            <w:r w:rsidR="00E21999">
              <w:rPr>
                <w:sz w:val="20"/>
                <w:szCs w:val="20"/>
              </w:rPr>
              <w:t>April Blevins</w:t>
            </w:r>
          </w:p>
          <w:p w:rsidR="00AE0838" w:rsidRDefault="00AE0838" w:rsidP="00457D4B">
            <w:pPr>
              <w:rPr>
                <w:sz w:val="20"/>
                <w:szCs w:val="20"/>
              </w:rPr>
            </w:pPr>
          </w:p>
          <w:p w:rsidR="00AE0838" w:rsidRPr="00812EFD" w:rsidRDefault="00AE0838" w:rsidP="00457D4B">
            <w:pPr>
              <w:rPr>
                <w:b/>
                <w:color w:val="FF0000"/>
                <w:sz w:val="40"/>
                <w:szCs w:val="40"/>
              </w:rPr>
            </w:pPr>
          </w:p>
        </w:tc>
        <w:tc>
          <w:tcPr>
            <w:tcW w:w="2610" w:type="dxa"/>
          </w:tcPr>
          <w:p w:rsidR="00AE0838" w:rsidRDefault="007A697E" w:rsidP="00457D4B">
            <w:pPr>
              <w:rPr>
                <w:sz w:val="20"/>
                <w:szCs w:val="20"/>
              </w:rPr>
            </w:pPr>
            <w:r>
              <w:rPr>
                <w:b/>
                <w:sz w:val="20"/>
                <w:szCs w:val="20"/>
              </w:rPr>
              <w:t xml:space="preserve">“Stepping Into the Character” – </w:t>
            </w:r>
            <w:r>
              <w:rPr>
                <w:sz w:val="20"/>
                <w:szCs w:val="20"/>
              </w:rPr>
              <w:t xml:space="preserve">A session that will encourage participants to create in-depth, complex characterization within fiction through considering </w:t>
            </w:r>
            <w:r w:rsidR="007643F6">
              <w:rPr>
                <w:sz w:val="20"/>
                <w:szCs w:val="20"/>
              </w:rPr>
              <w:t xml:space="preserve">the </w:t>
            </w:r>
            <w:r>
              <w:rPr>
                <w:sz w:val="20"/>
                <w:szCs w:val="20"/>
              </w:rPr>
              <w:t>elements of fiction from multiple perspectives</w:t>
            </w:r>
          </w:p>
          <w:p w:rsidR="007A697E" w:rsidRDefault="007A697E" w:rsidP="00457D4B">
            <w:pPr>
              <w:rPr>
                <w:b/>
                <w:sz w:val="20"/>
                <w:szCs w:val="20"/>
              </w:rPr>
            </w:pPr>
          </w:p>
          <w:p w:rsidR="007A697E" w:rsidRPr="007A697E" w:rsidRDefault="007A697E" w:rsidP="00457D4B">
            <w:pPr>
              <w:rPr>
                <w:sz w:val="20"/>
                <w:szCs w:val="20"/>
              </w:rPr>
            </w:pPr>
            <w:r>
              <w:rPr>
                <w:b/>
                <w:sz w:val="20"/>
                <w:szCs w:val="20"/>
              </w:rPr>
              <w:t xml:space="preserve">Presenter – </w:t>
            </w:r>
            <w:r>
              <w:rPr>
                <w:sz w:val="20"/>
                <w:szCs w:val="20"/>
              </w:rPr>
              <w:t>Leslie Workman</w:t>
            </w:r>
          </w:p>
        </w:tc>
      </w:tr>
      <w:tr w:rsidR="00AE0838" w:rsidTr="00AE0838">
        <w:trPr>
          <w:jc w:val="center"/>
        </w:trPr>
        <w:tc>
          <w:tcPr>
            <w:tcW w:w="1350" w:type="dxa"/>
          </w:tcPr>
          <w:p w:rsidR="00AE0838" w:rsidRPr="00622A32" w:rsidRDefault="00AE0838">
            <w:pPr>
              <w:rPr>
                <w:b/>
              </w:rPr>
            </w:pPr>
            <w:r w:rsidRPr="00622A32">
              <w:rPr>
                <w:b/>
              </w:rPr>
              <w:t>12:00-1:00</w:t>
            </w:r>
          </w:p>
        </w:tc>
        <w:tc>
          <w:tcPr>
            <w:tcW w:w="2880" w:type="dxa"/>
          </w:tcPr>
          <w:p w:rsidR="00AE0838" w:rsidRPr="00270FEF" w:rsidRDefault="00AE0838">
            <w:pPr>
              <w:rPr>
                <w:b/>
              </w:rPr>
            </w:pPr>
            <w:r w:rsidRPr="00270FEF">
              <w:rPr>
                <w:b/>
              </w:rPr>
              <w:t>Lunch</w:t>
            </w:r>
          </w:p>
        </w:tc>
        <w:tc>
          <w:tcPr>
            <w:tcW w:w="2520" w:type="dxa"/>
          </w:tcPr>
          <w:p w:rsidR="00AE0838" w:rsidRPr="00270FEF" w:rsidRDefault="00AE0838">
            <w:pPr>
              <w:rPr>
                <w:b/>
              </w:rPr>
            </w:pPr>
            <w:r w:rsidRPr="00270FEF">
              <w:rPr>
                <w:b/>
              </w:rPr>
              <w:t>Lunch</w:t>
            </w:r>
          </w:p>
        </w:tc>
        <w:tc>
          <w:tcPr>
            <w:tcW w:w="2948" w:type="dxa"/>
          </w:tcPr>
          <w:p w:rsidR="00AE0838" w:rsidRPr="00270FEF" w:rsidRDefault="00AE0838">
            <w:pPr>
              <w:rPr>
                <w:b/>
              </w:rPr>
            </w:pPr>
            <w:r w:rsidRPr="00270FEF">
              <w:rPr>
                <w:b/>
              </w:rPr>
              <w:t>Lunch</w:t>
            </w:r>
          </w:p>
        </w:tc>
        <w:tc>
          <w:tcPr>
            <w:tcW w:w="2610" w:type="dxa"/>
          </w:tcPr>
          <w:p w:rsidR="00AE0838" w:rsidRPr="00270FEF" w:rsidRDefault="00AE0838">
            <w:pPr>
              <w:rPr>
                <w:b/>
              </w:rPr>
            </w:pPr>
            <w:r w:rsidRPr="00270FEF">
              <w:rPr>
                <w:b/>
              </w:rPr>
              <w:t>Lunch</w:t>
            </w:r>
          </w:p>
        </w:tc>
      </w:tr>
      <w:tr w:rsidR="00AE0838" w:rsidTr="00AE0838">
        <w:trPr>
          <w:jc w:val="center"/>
        </w:trPr>
        <w:tc>
          <w:tcPr>
            <w:tcW w:w="1350" w:type="dxa"/>
          </w:tcPr>
          <w:p w:rsidR="00AE0838" w:rsidRDefault="00AE0838" w:rsidP="00B328DD">
            <w:pPr>
              <w:tabs>
                <w:tab w:val="left" w:pos="1275"/>
              </w:tabs>
              <w:rPr>
                <w:b/>
              </w:rPr>
            </w:pPr>
            <w:r w:rsidRPr="00622A32">
              <w:rPr>
                <w:b/>
              </w:rPr>
              <w:t>1:00-1:50</w:t>
            </w:r>
            <w:r>
              <w:rPr>
                <w:b/>
              </w:rPr>
              <w:tab/>
            </w:r>
          </w:p>
          <w:p w:rsidR="00AE0838" w:rsidRDefault="00AE0838" w:rsidP="00B328DD">
            <w:pPr>
              <w:tabs>
                <w:tab w:val="left" w:pos="1275"/>
              </w:tabs>
              <w:rPr>
                <w:b/>
              </w:rPr>
            </w:pPr>
          </w:p>
          <w:p w:rsidR="00AE0838" w:rsidRDefault="00AE0838" w:rsidP="00B328DD">
            <w:pPr>
              <w:tabs>
                <w:tab w:val="left" w:pos="1275"/>
              </w:tabs>
              <w:rPr>
                <w:b/>
              </w:rPr>
            </w:pPr>
          </w:p>
          <w:p w:rsidR="00AE0838" w:rsidRDefault="00AE0838" w:rsidP="00B328DD">
            <w:pPr>
              <w:tabs>
                <w:tab w:val="left" w:pos="1275"/>
              </w:tabs>
              <w:rPr>
                <w:b/>
              </w:rPr>
            </w:pPr>
          </w:p>
          <w:p w:rsidR="00AE0838" w:rsidRPr="00622A32" w:rsidRDefault="00AE0838" w:rsidP="00B328DD">
            <w:pPr>
              <w:tabs>
                <w:tab w:val="left" w:pos="1275"/>
              </w:tabs>
              <w:rPr>
                <w:b/>
              </w:rPr>
            </w:pPr>
          </w:p>
        </w:tc>
        <w:tc>
          <w:tcPr>
            <w:tcW w:w="2880" w:type="dxa"/>
          </w:tcPr>
          <w:p w:rsidR="00AE0838" w:rsidRPr="001C1AAB" w:rsidRDefault="007643F6" w:rsidP="00AC0C63">
            <w:r>
              <w:rPr>
                <w:b/>
                <w:sz w:val="20"/>
                <w:szCs w:val="20"/>
              </w:rPr>
              <w:t>Leslie Workman – Instruction Session</w:t>
            </w:r>
          </w:p>
        </w:tc>
        <w:tc>
          <w:tcPr>
            <w:tcW w:w="2520" w:type="dxa"/>
          </w:tcPr>
          <w:p w:rsidR="00AE0838" w:rsidRPr="004D73F8" w:rsidRDefault="00907285" w:rsidP="004D73F8">
            <w:pPr>
              <w:rPr>
                <w:rFonts w:eastAsia="Times New Roman" w:cstheme="minorHAnsi"/>
                <w:sz w:val="20"/>
                <w:szCs w:val="20"/>
              </w:rPr>
            </w:pPr>
            <w:r>
              <w:rPr>
                <w:rFonts w:eastAsia="Times New Roman" w:cstheme="minorHAnsi"/>
                <w:b/>
                <w:sz w:val="20"/>
                <w:szCs w:val="20"/>
              </w:rPr>
              <w:t>“Persuasive Writing”</w:t>
            </w:r>
            <w:r w:rsidR="00AE0838" w:rsidRPr="004D73F8">
              <w:rPr>
                <w:rFonts w:eastAsia="Times New Roman" w:cstheme="minorHAnsi"/>
                <w:sz w:val="20"/>
                <w:szCs w:val="20"/>
              </w:rPr>
              <w:t xml:space="preserve">.  </w:t>
            </w:r>
          </w:p>
          <w:p w:rsidR="00AE0838" w:rsidRDefault="00AE0838" w:rsidP="004D73F8">
            <w:pPr>
              <w:rPr>
                <w:rFonts w:eastAsia="Times New Roman" w:cstheme="minorHAnsi"/>
                <w:b/>
                <w:sz w:val="20"/>
                <w:szCs w:val="20"/>
              </w:rPr>
            </w:pPr>
          </w:p>
          <w:p w:rsidR="00AE0838" w:rsidRPr="004D73F8" w:rsidRDefault="00AE0838" w:rsidP="004D73F8">
            <w:pPr>
              <w:rPr>
                <w:rFonts w:eastAsia="Times New Roman" w:cstheme="minorHAnsi"/>
                <w:sz w:val="20"/>
                <w:szCs w:val="20"/>
              </w:rPr>
            </w:pPr>
            <w:r w:rsidRPr="004D73F8">
              <w:rPr>
                <w:rFonts w:eastAsia="Times New Roman" w:cstheme="minorHAnsi"/>
                <w:b/>
                <w:sz w:val="20"/>
                <w:szCs w:val="20"/>
              </w:rPr>
              <w:t xml:space="preserve">Presenter: </w:t>
            </w:r>
            <w:proofErr w:type="spellStart"/>
            <w:r w:rsidR="00875025">
              <w:rPr>
                <w:rFonts w:eastAsia="Times New Roman" w:cstheme="minorHAnsi"/>
                <w:sz w:val="20"/>
                <w:szCs w:val="20"/>
              </w:rPr>
              <w:t>Shalita</w:t>
            </w:r>
            <w:proofErr w:type="spellEnd"/>
            <w:r w:rsidR="00875025">
              <w:rPr>
                <w:rFonts w:eastAsia="Times New Roman" w:cstheme="minorHAnsi"/>
                <w:sz w:val="20"/>
                <w:szCs w:val="20"/>
              </w:rPr>
              <w:t xml:space="preserve"> Compton</w:t>
            </w:r>
          </w:p>
          <w:p w:rsidR="00AE0838" w:rsidRPr="000F6E65" w:rsidRDefault="00AE0838" w:rsidP="00FD691F">
            <w:pPr>
              <w:rPr>
                <w:rFonts w:cstheme="minorHAnsi"/>
                <w:sz w:val="20"/>
                <w:szCs w:val="20"/>
              </w:rPr>
            </w:pPr>
          </w:p>
          <w:p w:rsidR="00AE0838" w:rsidRPr="005D0BE6" w:rsidRDefault="00AE0838">
            <w:pPr>
              <w:rPr>
                <w:b/>
              </w:rPr>
            </w:pPr>
          </w:p>
        </w:tc>
        <w:tc>
          <w:tcPr>
            <w:tcW w:w="2948" w:type="dxa"/>
          </w:tcPr>
          <w:p w:rsidR="00AE0838" w:rsidRDefault="00EE1FB0" w:rsidP="00875025">
            <w:pPr>
              <w:rPr>
                <w:sz w:val="20"/>
                <w:szCs w:val="20"/>
              </w:rPr>
            </w:pPr>
            <w:r>
              <w:rPr>
                <w:b/>
                <w:sz w:val="20"/>
                <w:szCs w:val="20"/>
              </w:rPr>
              <w:t>“</w:t>
            </w:r>
            <w:r w:rsidR="00FD3337">
              <w:rPr>
                <w:b/>
                <w:sz w:val="20"/>
                <w:szCs w:val="20"/>
              </w:rPr>
              <w:t xml:space="preserve">Writing Straight to the Place” – </w:t>
            </w:r>
            <w:r w:rsidR="00FD3337">
              <w:rPr>
                <w:sz w:val="20"/>
                <w:szCs w:val="20"/>
              </w:rPr>
              <w:t>This session will demonstrate how consideration of geography can be used to help create more dynamic imagery in creative writing.</w:t>
            </w:r>
          </w:p>
          <w:p w:rsidR="00FD3337" w:rsidRDefault="00FD3337" w:rsidP="00875025">
            <w:pPr>
              <w:rPr>
                <w:sz w:val="20"/>
                <w:szCs w:val="20"/>
              </w:rPr>
            </w:pPr>
          </w:p>
          <w:p w:rsidR="00FD3337" w:rsidRPr="00FD3337" w:rsidRDefault="00FD3337" w:rsidP="00875025">
            <w:pPr>
              <w:rPr>
                <w:sz w:val="20"/>
                <w:szCs w:val="20"/>
              </w:rPr>
            </w:pPr>
            <w:r>
              <w:rPr>
                <w:b/>
                <w:sz w:val="20"/>
                <w:szCs w:val="20"/>
              </w:rPr>
              <w:t xml:space="preserve">Presenter: </w:t>
            </w:r>
            <w:r>
              <w:rPr>
                <w:sz w:val="20"/>
                <w:szCs w:val="20"/>
              </w:rPr>
              <w:t>Brandie Trent</w:t>
            </w:r>
            <w:bookmarkStart w:id="0" w:name="_GoBack"/>
            <w:bookmarkEnd w:id="0"/>
          </w:p>
        </w:tc>
        <w:tc>
          <w:tcPr>
            <w:tcW w:w="2610" w:type="dxa"/>
          </w:tcPr>
          <w:p w:rsidR="00AE0838" w:rsidRDefault="00AE0838" w:rsidP="009347BA"/>
        </w:tc>
      </w:tr>
      <w:tr w:rsidR="00AE0838" w:rsidTr="00AE0838">
        <w:trPr>
          <w:jc w:val="center"/>
        </w:trPr>
        <w:tc>
          <w:tcPr>
            <w:tcW w:w="1350" w:type="dxa"/>
          </w:tcPr>
          <w:p w:rsidR="00AE0838" w:rsidRDefault="00AE0838">
            <w:pPr>
              <w:rPr>
                <w:b/>
              </w:rPr>
            </w:pPr>
            <w:r w:rsidRPr="00622A32">
              <w:rPr>
                <w:b/>
              </w:rPr>
              <w:t>2:00-2:50</w:t>
            </w:r>
          </w:p>
          <w:p w:rsidR="00AE0838" w:rsidRDefault="00AE0838">
            <w:pPr>
              <w:rPr>
                <w:b/>
              </w:rPr>
            </w:pPr>
          </w:p>
          <w:p w:rsidR="00AE0838" w:rsidRDefault="00AE0838">
            <w:pPr>
              <w:rPr>
                <w:b/>
              </w:rPr>
            </w:pPr>
          </w:p>
          <w:p w:rsidR="00AE0838" w:rsidRPr="00622A32" w:rsidRDefault="00AE0838">
            <w:pPr>
              <w:rPr>
                <w:b/>
              </w:rPr>
            </w:pPr>
          </w:p>
        </w:tc>
        <w:tc>
          <w:tcPr>
            <w:tcW w:w="2880" w:type="dxa"/>
          </w:tcPr>
          <w:p w:rsidR="00AE0838" w:rsidRPr="00C4585F" w:rsidRDefault="00C4585F" w:rsidP="00C4585F">
            <w:pPr>
              <w:rPr>
                <w:rFonts w:eastAsia="Times New Roman" w:cs="Tahoma"/>
                <w:color w:val="000000"/>
                <w:sz w:val="20"/>
                <w:szCs w:val="20"/>
              </w:rPr>
            </w:pPr>
            <w:r>
              <w:rPr>
                <w:rFonts w:eastAsia="Times New Roman" w:cs="Tahoma"/>
                <w:b/>
                <w:color w:val="000000"/>
                <w:sz w:val="20"/>
                <w:szCs w:val="20"/>
              </w:rPr>
              <w:t xml:space="preserve">“Integrating Writing as a Response to Reading – </w:t>
            </w:r>
            <w:r>
              <w:rPr>
                <w:rFonts w:eastAsia="Times New Roman" w:cs="Tahoma"/>
                <w:color w:val="000000"/>
                <w:sz w:val="20"/>
                <w:szCs w:val="20"/>
              </w:rPr>
              <w:t xml:space="preserve">Presentation will focus on presenting different ways to </w:t>
            </w:r>
            <w:r>
              <w:rPr>
                <w:rFonts w:eastAsia="Times New Roman" w:cs="Tahoma"/>
                <w:color w:val="000000"/>
                <w:sz w:val="20"/>
                <w:szCs w:val="20"/>
              </w:rPr>
              <w:lastRenderedPageBreak/>
              <w:t>respond to texts with writing (character letters, narratives, expository, text-connection) in a reading response journal.</w:t>
            </w:r>
          </w:p>
          <w:p w:rsidR="00AE0838" w:rsidRPr="002320E4" w:rsidRDefault="00AE0838" w:rsidP="00D248F5">
            <w:pPr>
              <w:rPr>
                <w:rFonts w:eastAsia="Times New Roman" w:cs="Tahoma"/>
                <w:color w:val="000000"/>
                <w:sz w:val="20"/>
                <w:szCs w:val="20"/>
              </w:rPr>
            </w:pPr>
            <w:r>
              <w:rPr>
                <w:rFonts w:eastAsia="Times New Roman" w:cs="Tahoma"/>
                <w:b/>
                <w:color w:val="000000"/>
                <w:sz w:val="20"/>
                <w:szCs w:val="20"/>
              </w:rPr>
              <w:t xml:space="preserve">Presenter: </w:t>
            </w:r>
            <w:r w:rsidR="00C4585F">
              <w:rPr>
                <w:rFonts w:eastAsia="Times New Roman" w:cs="Tahoma"/>
                <w:color w:val="000000"/>
                <w:sz w:val="20"/>
                <w:szCs w:val="20"/>
              </w:rPr>
              <w:t>Courtney Brickey</w:t>
            </w:r>
          </w:p>
          <w:p w:rsidR="00AE0838" w:rsidRPr="005D0BE6" w:rsidRDefault="00AE0838" w:rsidP="00D248F5">
            <w:pPr>
              <w:rPr>
                <w:rFonts w:eastAsia="Times New Roman" w:cs="Tahoma"/>
                <w:b/>
                <w:color w:val="FFC000"/>
                <w:sz w:val="20"/>
                <w:szCs w:val="20"/>
              </w:rPr>
            </w:pPr>
          </w:p>
          <w:p w:rsidR="00AE0838" w:rsidRPr="00622A32" w:rsidRDefault="00AE0838">
            <w:pPr>
              <w:rPr>
                <w:sz w:val="20"/>
                <w:szCs w:val="20"/>
              </w:rPr>
            </w:pPr>
          </w:p>
        </w:tc>
        <w:tc>
          <w:tcPr>
            <w:tcW w:w="2520" w:type="dxa"/>
          </w:tcPr>
          <w:p w:rsidR="00AE0838" w:rsidRPr="004D73F8" w:rsidRDefault="00A93FC1" w:rsidP="004D73F8">
            <w:pPr>
              <w:rPr>
                <w:sz w:val="20"/>
                <w:szCs w:val="20"/>
              </w:rPr>
            </w:pPr>
            <w:r>
              <w:rPr>
                <w:b/>
                <w:sz w:val="20"/>
                <w:szCs w:val="20"/>
              </w:rPr>
              <w:lastRenderedPageBreak/>
              <w:t>“Using Whole Brain Teaching for Writing in the Elementary Classroom</w:t>
            </w:r>
            <w:r w:rsidR="00AE0838">
              <w:rPr>
                <w:b/>
                <w:sz w:val="20"/>
                <w:szCs w:val="20"/>
              </w:rPr>
              <w:t xml:space="preserve">” </w:t>
            </w:r>
            <w:r w:rsidR="00AE0838">
              <w:rPr>
                <w:sz w:val="20"/>
                <w:szCs w:val="20"/>
              </w:rPr>
              <w:t>–</w:t>
            </w:r>
            <w:r w:rsidR="00AE0838" w:rsidRPr="004D73F8">
              <w:t xml:space="preserve"> </w:t>
            </w:r>
            <w:r>
              <w:rPr>
                <w:sz w:val="20"/>
                <w:szCs w:val="20"/>
              </w:rPr>
              <w:t xml:space="preserve">The session will focus on </w:t>
            </w:r>
            <w:r>
              <w:rPr>
                <w:sz w:val="20"/>
                <w:szCs w:val="20"/>
              </w:rPr>
              <w:lastRenderedPageBreak/>
              <w:t xml:space="preserve">various ways (including videos that promote kinesthetic learning) that primary students can become engaged in meaningful composition.  </w:t>
            </w:r>
          </w:p>
          <w:p w:rsidR="00AE0838" w:rsidRDefault="00AE0838" w:rsidP="004D73F8">
            <w:pPr>
              <w:rPr>
                <w:sz w:val="20"/>
                <w:szCs w:val="20"/>
              </w:rPr>
            </w:pPr>
          </w:p>
          <w:p w:rsidR="00AE0838" w:rsidRPr="004D73F8" w:rsidRDefault="00AE0838" w:rsidP="004D73F8">
            <w:pPr>
              <w:rPr>
                <w:sz w:val="20"/>
                <w:szCs w:val="20"/>
              </w:rPr>
            </w:pPr>
            <w:r w:rsidRPr="004D73F8">
              <w:rPr>
                <w:b/>
                <w:sz w:val="20"/>
                <w:szCs w:val="20"/>
              </w:rPr>
              <w:t>Presenters:</w:t>
            </w:r>
            <w:r w:rsidR="00A93FC1">
              <w:rPr>
                <w:sz w:val="20"/>
                <w:szCs w:val="20"/>
              </w:rPr>
              <w:t xml:space="preserve"> Tammy </w:t>
            </w:r>
            <w:proofErr w:type="spellStart"/>
            <w:r w:rsidR="00A93FC1">
              <w:rPr>
                <w:sz w:val="20"/>
                <w:szCs w:val="20"/>
              </w:rPr>
              <w:t>Gallenstein</w:t>
            </w:r>
            <w:proofErr w:type="spellEnd"/>
          </w:p>
          <w:p w:rsidR="00AE0838" w:rsidRDefault="00AE0838" w:rsidP="009347BA">
            <w:pPr>
              <w:rPr>
                <w:sz w:val="20"/>
                <w:szCs w:val="20"/>
              </w:rPr>
            </w:pPr>
          </w:p>
          <w:p w:rsidR="00AE0838" w:rsidRDefault="00AE0838" w:rsidP="009347BA">
            <w:pPr>
              <w:rPr>
                <w:sz w:val="20"/>
                <w:szCs w:val="20"/>
              </w:rPr>
            </w:pPr>
          </w:p>
          <w:p w:rsidR="00AE0838" w:rsidRDefault="00AE0838" w:rsidP="009347BA">
            <w:pPr>
              <w:rPr>
                <w:sz w:val="20"/>
                <w:szCs w:val="20"/>
              </w:rPr>
            </w:pPr>
          </w:p>
          <w:p w:rsidR="00AE0838" w:rsidRPr="005D0BE6" w:rsidRDefault="00AE0838" w:rsidP="009347BA">
            <w:pPr>
              <w:rPr>
                <w:b/>
                <w:sz w:val="20"/>
                <w:szCs w:val="20"/>
              </w:rPr>
            </w:pPr>
          </w:p>
        </w:tc>
        <w:tc>
          <w:tcPr>
            <w:tcW w:w="2948" w:type="dxa"/>
          </w:tcPr>
          <w:p w:rsidR="00AE0838" w:rsidRDefault="007643F6" w:rsidP="009347BA">
            <w:r>
              <w:rPr>
                <w:b/>
                <w:sz w:val="20"/>
                <w:szCs w:val="20"/>
              </w:rPr>
              <w:lastRenderedPageBreak/>
              <w:t>Jared Salyers – Poetry presentation</w:t>
            </w:r>
          </w:p>
          <w:p w:rsidR="00AE0838" w:rsidRDefault="00AE0838" w:rsidP="009347BA"/>
          <w:p w:rsidR="00AE0838" w:rsidRPr="005D0BE6" w:rsidRDefault="00AE0838" w:rsidP="009347BA">
            <w:pPr>
              <w:rPr>
                <w:b/>
                <w:color w:val="0070C0"/>
              </w:rPr>
            </w:pPr>
          </w:p>
        </w:tc>
        <w:tc>
          <w:tcPr>
            <w:tcW w:w="2610" w:type="dxa"/>
          </w:tcPr>
          <w:p w:rsidR="00AE0838" w:rsidRPr="00BC77F4" w:rsidRDefault="00AE0838">
            <w:pPr>
              <w:rPr>
                <w:sz w:val="20"/>
                <w:szCs w:val="20"/>
              </w:rPr>
            </w:pPr>
          </w:p>
        </w:tc>
      </w:tr>
      <w:tr w:rsidR="00AE0838" w:rsidTr="00AE0838">
        <w:trPr>
          <w:jc w:val="center"/>
        </w:trPr>
        <w:tc>
          <w:tcPr>
            <w:tcW w:w="1350" w:type="dxa"/>
          </w:tcPr>
          <w:p w:rsidR="00AE0838" w:rsidRPr="00622A32" w:rsidRDefault="00AE0838">
            <w:pPr>
              <w:rPr>
                <w:b/>
              </w:rPr>
            </w:pPr>
            <w:r w:rsidRPr="00622A32">
              <w:rPr>
                <w:b/>
              </w:rPr>
              <w:lastRenderedPageBreak/>
              <w:t>3:00-</w:t>
            </w:r>
            <w:r>
              <w:rPr>
                <w:b/>
              </w:rPr>
              <w:t xml:space="preserve">3:50 </w:t>
            </w:r>
          </w:p>
        </w:tc>
        <w:tc>
          <w:tcPr>
            <w:tcW w:w="2880" w:type="dxa"/>
          </w:tcPr>
          <w:p w:rsidR="00AE0838" w:rsidRDefault="00AE0838">
            <w:r>
              <w:rPr>
                <w:b/>
              </w:rPr>
              <w:t>Plenary Session  - In Praise of the Day (room 002)</w:t>
            </w:r>
          </w:p>
        </w:tc>
        <w:tc>
          <w:tcPr>
            <w:tcW w:w="2520" w:type="dxa"/>
          </w:tcPr>
          <w:p w:rsidR="00AE0838" w:rsidRDefault="00AE0838">
            <w:r>
              <w:rPr>
                <w:b/>
              </w:rPr>
              <w:t>Plenary Session-  In Praise of the Day (room 002)</w:t>
            </w:r>
          </w:p>
        </w:tc>
        <w:tc>
          <w:tcPr>
            <w:tcW w:w="2948" w:type="dxa"/>
          </w:tcPr>
          <w:p w:rsidR="00AE0838" w:rsidRDefault="00AE0838">
            <w:r>
              <w:rPr>
                <w:b/>
              </w:rPr>
              <w:t>Plenary Session – In Praise of the Day (room 002)</w:t>
            </w:r>
          </w:p>
        </w:tc>
        <w:tc>
          <w:tcPr>
            <w:tcW w:w="2610" w:type="dxa"/>
          </w:tcPr>
          <w:p w:rsidR="00AE0838" w:rsidRPr="00622A32" w:rsidRDefault="00AE0838">
            <w:pPr>
              <w:rPr>
                <w:b/>
              </w:rPr>
            </w:pPr>
            <w:r>
              <w:rPr>
                <w:b/>
              </w:rPr>
              <w:t>Plenary Session – In Praise of the Day (room 002)</w:t>
            </w:r>
          </w:p>
        </w:tc>
      </w:tr>
    </w:tbl>
    <w:p w:rsidR="00EB00B5" w:rsidRDefault="00EB00B5"/>
    <w:sectPr w:rsidR="00EB00B5" w:rsidSect="00622A32">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46" w:rsidRDefault="00213346" w:rsidP="00622A32">
      <w:pPr>
        <w:spacing w:after="0" w:line="240" w:lineRule="auto"/>
      </w:pPr>
      <w:r>
        <w:separator/>
      </w:r>
    </w:p>
  </w:endnote>
  <w:endnote w:type="continuationSeparator" w:id="0">
    <w:p w:rsidR="00213346" w:rsidRDefault="00213346" w:rsidP="0062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46" w:rsidRDefault="00213346" w:rsidP="00622A32">
      <w:pPr>
        <w:spacing w:after="0" w:line="240" w:lineRule="auto"/>
      </w:pPr>
      <w:r>
        <w:separator/>
      </w:r>
    </w:p>
  </w:footnote>
  <w:footnote w:type="continuationSeparator" w:id="0">
    <w:p w:rsidR="00213346" w:rsidRDefault="00213346" w:rsidP="0062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428273"/>
      <w:docPartObj>
        <w:docPartGallery w:val="Page Numbers (Top of Page)"/>
        <w:docPartUnique/>
      </w:docPartObj>
    </w:sdtPr>
    <w:sdtEndPr>
      <w:rPr>
        <w:noProof/>
      </w:rPr>
    </w:sdtEndPr>
    <w:sdtContent>
      <w:p w:rsidR="006C1C1D" w:rsidRDefault="006C1C1D">
        <w:pPr>
          <w:pStyle w:val="Header"/>
          <w:jc w:val="right"/>
        </w:pPr>
        <w:r>
          <w:t xml:space="preserve">WEKY SCHEDULE OF PRESENTATIONS </w:t>
        </w:r>
        <w:r w:rsidR="00D434AA">
          <w:fldChar w:fldCharType="begin"/>
        </w:r>
        <w:r>
          <w:instrText xml:space="preserve"> PAGE   \* MERGEFORMAT </w:instrText>
        </w:r>
        <w:r w:rsidR="00D434AA">
          <w:fldChar w:fldCharType="separate"/>
        </w:r>
        <w:r w:rsidR="00FD3337">
          <w:rPr>
            <w:noProof/>
          </w:rPr>
          <w:t>2</w:t>
        </w:r>
        <w:r w:rsidR="00D434AA">
          <w:rPr>
            <w:noProof/>
          </w:rPr>
          <w:fldChar w:fldCharType="end"/>
        </w:r>
      </w:p>
    </w:sdtContent>
  </w:sdt>
  <w:p w:rsidR="00622A32" w:rsidRDefault="00622A32">
    <w:pPr>
      <w:pStyle w:val="Header"/>
    </w:pPr>
  </w:p>
  <w:p w:rsidR="006C1C1D" w:rsidRDefault="006C1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F8F"/>
    <w:multiLevelType w:val="hybridMultilevel"/>
    <w:tmpl w:val="83A830A4"/>
    <w:lvl w:ilvl="0" w:tplc="47D29B9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D0"/>
    <w:rsid w:val="000168AE"/>
    <w:rsid w:val="00076E50"/>
    <w:rsid w:val="00093444"/>
    <w:rsid w:val="000E6DD5"/>
    <w:rsid w:val="0010251A"/>
    <w:rsid w:val="0012741F"/>
    <w:rsid w:val="00144C27"/>
    <w:rsid w:val="001A6EA5"/>
    <w:rsid w:val="001B10D7"/>
    <w:rsid w:val="001C1AAB"/>
    <w:rsid w:val="001E332B"/>
    <w:rsid w:val="001F5526"/>
    <w:rsid w:val="00204727"/>
    <w:rsid w:val="00213346"/>
    <w:rsid w:val="00215F85"/>
    <w:rsid w:val="00230976"/>
    <w:rsid w:val="002320E4"/>
    <w:rsid w:val="00270FEF"/>
    <w:rsid w:val="002C4A97"/>
    <w:rsid w:val="002C60C8"/>
    <w:rsid w:val="0031779C"/>
    <w:rsid w:val="0036352E"/>
    <w:rsid w:val="0039592E"/>
    <w:rsid w:val="003B4373"/>
    <w:rsid w:val="003C42FA"/>
    <w:rsid w:val="0040403F"/>
    <w:rsid w:val="00415AA3"/>
    <w:rsid w:val="00427A49"/>
    <w:rsid w:val="00435CC4"/>
    <w:rsid w:val="00457D4B"/>
    <w:rsid w:val="0046701A"/>
    <w:rsid w:val="004D73F8"/>
    <w:rsid w:val="004E0CE9"/>
    <w:rsid w:val="004F1187"/>
    <w:rsid w:val="00514D7C"/>
    <w:rsid w:val="005260D6"/>
    <w:rsid w:val="0053692B"/>
    <w:rsid w:val="005D0BE6"/>
    <w:rsid w:val="0060231A"/>
    <w:rsid w:val="00612A83"/>
    <w:rsid w:val="00616774"/>
    <w:rsid w:val="00622A32"/>
    <w:rsid w:val="00681F56"/>
    <w:rsid w:val="006860EF"/>
    <w:rsid w:val="006C1C1D"/>
    <w:rsid w:val="006D5AC7"/>
    <w:rsid w:val="006D72CA"/>
    <w:rsid w:val="00700992"/>
    <w:rsid w:val="0070460C"/>
    <w:rsid w:val="007541A4"/>
    <w:rsid w:val="00755761"/>
    <w:rsid w:val="007643F6"/>
    <w:rsid w:val="007A697E"/>
    <w:rsid w:val="00812EFD"/>
    <w:rsid w:val="00821D01"/>
    <w:rsid w:val="00822C13"/>
    <w:rsid w:val="008257F7"/>
    <w:rsid w:val="008258D1"/>
    <w:rsid w:val="00875025"/>
    <w:rsid w:val="008954F3"/>
    <w:rsid w:val="008B7310"/>
    <w:rsid w:val="00907285"/>
    <w:rsid w:val="0092339F"/>
    <w:rsid w:val="00927889"/>
    <w:rsid w:val="009347BA"/>
    <w:rsid w:val="009618AC"/>
    <w:rsid w:val="009A6E62"/>
    <w:rsid w:val="009B5DC2"/>
    <w:rsid w:val="009C0576"/>
    <w:rsid w:val="00A15871"/>
    <w:rsid w:val="00A30448"/>
    <w:rsid w:val="00A37FDE"/>
    <w:rsid w:val="00A61C9D"/>
    <w:rsid w:val="00A655DF"/>
    <w:rsid w:val="00A71E88"/>
    <w:rsid w:val="00A93FC1"/>
    <w:rsid w:val="00AA3F80"/>
    <w:rsid w:val="00AB4274"/>
    <w:rsid w:val="00AC0C63"/>
    <w:rsid w:val="00AE0838"/>
    <w:rsid w:val="00AF13D0"/>
    <w:rsid w:val="00B13105"/>
    <w:rsid w:val="00B17A98"/>
    <w:rsid w:val="00B328DD"/>
    <w:rsid w:val="00B51648"/>
    <w:rsid w:val="00B77DFC"/>
    <w:rsid w:val="00B91D2B"/>
    <w:rsid w:val="00BB2261"/>
    <w:rsid w:val="00BC77F4"/>
    <w:rsid w:val="00BD2467"/>
    <w:rsid w:val="00C14219"/>
    <w:rsid w:val="00C4585F"/>
    <w:rsid w:val="00C60EA3"/>
    <w:rsid w:val="00C725C9"/>
    <w:rsid w:val="00C863C0"/>
    <w:rsid w:val="00C93DDF"/>
    <w:rsid w:val="00CC1916"/>
    <w:rsid w:val="00CF2DA4"/>
    <w:rsid w:val="00D248F5"/>
    <w:rsid w:val="00D434AA"/>
    <w:rsid w:val="00D45CD5"/>
    <w:rsid w:val="00D539CC"/>
    <w:rsid w:val="00DA38E3"/>
    <w:rsid w:val="00DB74EB"/>
    <w:rsid w:val="00DF5364"/>
    <w:rsid w:val="00E00728"/>
    <w:rsid w:val="00E07C4C"/>
    <w:rsid w:val="00E1312A"/>
    <w:rsid w:val="00E21999"/>
    <w:rsid w:val="00E32721"/>
    <w:rsid w:val="00EB00B5"/>
    <w:rsid w:val="00ED76B5"/>
    <w:rsid w:val="00EE1FB0"/>
    <w:rsid w:val="00F13D93"/>
    <w:rsid w:val="00F15F3E"/>
    <w:rsid w:val="00F2784A"/>
    <w:rsid w:val="00F43455"/>
    <w:rsid w:val="00F72BE9"/>
    <w:rsid w:val="00F77C4E"/>
    <w:rsid w:val="00FA3D3A"/>
    <w:rsid w:val="00FC32CF"/>
    <w:rsid w:val="00FD3337"/>
    <w:rsid w:val="00FD691F"/>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19B15-EA90-41A9-9CEF-1402302B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248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A32"/>
  </w:style>
  <w:style w:type="paragraph" w:styleId="Footer">
    <w:name w:val="footer"/>
    <w:basedOn w:val="Normal"/>
    <w:link w:val="FooterChar"/>
    <w:uiPriority w:val="99"/>
    <w:unhideWhenUsed/>
    <w:rsid w:val="0062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A32"/>
  </w:style>
  <w:style w:type="paragraph" w:styleId="ListParagraph">
    <w:name w:val="List Paragraph"/>
    <w:basedOn w:val="Normal"/>
    <w:uiPriority w:val="34"/>
    <w:qFormat/>
    <w:rsid w:val="00F2784A"/>
    <w:pPr>
      <w:ind w:left="720"/>
      <w:contextualSpacing/>
    </w:pPr>
  </w:style>
  <w:style w:type="character" w:customStyle="1" w:styleId="Heading5Char">
    <w:name w:val="Heading 5 Char"/>
    <w:basedOn w:val="DefaultParagraphFont"/>
    <w:link w:val="Heading5"/>
    <w:uiPriority w:val="9"/>
    <w:rsid w:val="00D248F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48F5"/>
    <w:pPr>
      <w:spacing w:after="0"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D2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0981">
      <w:bodyDiv w:val="1"/>
      <w:marLeft w:val="0"/>
      <w:marRight w:val="0"/>
      <w:marTop w:val="0"/>
      <w:marBottom w:val="0"/>
      <w:divBdr>
        <w:top w:val="none" w:sz="0" w:space="0" w:color="auto"/>
        <w:left w:val="none" w:sz="0" w:space="0" w:color="auto"/>
        <w:bottom w:val="none" w:sz="0" w:space="0" w:color="auto"/>
        <w:right w:val="none" w:sz="0" w:space="0" w:color="auto"/>
      </w:divBdr>
      <w:divsChild>
        <w:div w:id="1723097628">
          <w:marLeft w:val="0"/>
          <w:marRight w:val="0"/>
          <w:marTop w:val="0"/>
          <w:marBottom w:val="0"/>
          <w:divBdr>
            <w:top w:val="none" w:sz="0" w:space="0" w:color="auto"/>
            <w:left w:val="none" w:sz="0" w:space="0" w:color="auto"/>
            <w:bottom w:val="none" w:sz="0" w:space="0" w:color="auto"/>
            <w:right w:val="none" w:sz="0" w:space="0" w:color="auto"/>
          </w:divBdr>
        </w:div>
      </w:divsChild>
    </w:div>
    <w:div w:id="1069112462">
      <w:bodyDiv w:val="1"/>
      <w:marLeft w:val="0"/>
      <w:marRight w:val="0"/>
      <w:marTop w:val="0"/>
      <w:marBottom w:val="0"/>
      <w:divBdr>
        <w:top w:val="none" w:sz="0" w:space="0" w:color="auto"/>
        <w:left w:val="none" w:sz="0" w:space="0" w:color="auto"/>
        <w:bottom w:val="none" w:sz="0" w:space="0" w:color="auto"/>
        <w:right w:val="none" w:sz="0" w:space="0" w:color="auto"/>
      </w:divBdr>
      <w:divsChild>
        <w:div w:id="1722747018">
          <w:marLeft w:val="0"/>
          <w:marRight w:val="0"/>
          <w:marTop w:val="0"/>
          <w:marBottom w:val="0"/>
          <w:divBdr>
            <w:top w:val="none" w:sz="0" w:space="0" w:color="auto"/>
            <w:left w:val="none" w:sz="0" w:space="0" w:color="auto"/>
            <w:bottom w:val="none" w:sz="0" w:space="0" w:color="auto"/>
            <w:right w:val="none" w:sz="0" w:space="0" w:color="auto"/>
          </w:divBdr>
          <w:divsChild>
            <w:div w:id="1066955528">
              <w:marLeft w:val="0"/>
              <w:marRight w:val="0"/>
              <w:marTop w:val="0"/>
              <w:marBottom w:val="0"/>
              <w:divBdr>
                <w:top w:val="none" w:sz="0" w:space="0" w:color="auto"/>
                <w:left w:val="none" w:sz="0" w:space="0" w:color="auto"/>
                <w:bottom w:val="none" w:sz="0" w:space="0" w:color="auto"/>
                <w:right w:val="none" w:sz="0" w:space="0" w:color="auto"/>
              </w:divBdr>
            </w:div>
            <w:div w:id="806977067">
              <w:marLeft w:val="0"/>
              <w:marRight w:val="0"/>
              <w:marTop w:val="0"/>
              <w:marBottom w:val="0"/>
              <w:divBdr>
                <w:top w:val="none" w:sz="0" w:space="0" w:color="auto"/>
                <w:left w:val="none" w:sz="0" w:space="0" w:color="auto"/>
                <w:bottom w:val="none" w:sz="0" w:space="0" w:color="auto"/>
                <w:right w:val="none" w:sz="0" w:space="0" w:color="auto"/>
              </w:divBdr>
            </w:div>
            <w:div w:id="1825774143">
              <w:marLeft w:val="0"/>
              <w:marRight w:val="0"/>
              <w:marTop w:val="0"/>
              <w:marBottom w:val="0"/>
              <w:divBdr>
                <w:top w:val="none" w:sz="0" w:space="0" w:color="auto"/>
                <w:left w:val="none" w:sz="0" w:space="0" w:color="auto"/>
                <w:bottom w:val="none" w:sz="0" w:space="0" w:color="auto"/>
                <w:right w:val="none" w:sz="0" w:space="0" w:color="auto"/>
              </w:divBdr>
            </w:div>
            <w:div w:id="1826898650">
              <w:marLeft w:val="0"/>
              <w:marRight w:val="0"/>
              <w:marTop w:val="0"/>
              <w:marBottom w:val="0"/>
              <w:divBdr>
                <w:top w:val="none" w:sz="0" w:space="0" w:color="auto"/>
                <w:left w:val="none" w:sz="0" w:space="0" w:color="auto"/>
                <w:bottom w:val="none" w:sz="0" w:space="0" w:color="auto"/>
                <w:right w:val="none" w:sz="0" w:space="0" w:color="auto"/>
              </w:divBdr>
            </w:div>
            <w:div w:id="1356618989">
              <w:marLeft w:val="0"/>
              <w:marRight w:val="0"/>
              <w:marTop w:val="0"/>
              <w:marBottom w:val="0"/>
              <w:divBdr>
                <w:top w:val="none" w:sz="0" w:space="0" w:color="auto"/>
                <w:left w:val="none" w:sz="0" w:space="0" w:color="auto"/>
                <w:bottom w:val="none" w:sz="0" w:space="0" w:color="auto"/>
                <w:right w:val="none" w:sz="0" w:space="0" w:color="auto"/>
              </w:divBdr>
            </w:div>
            <w:div w:id="410587806">
              <w:marLeft w:val="0"/>
              <w:marRight w:val="0"/>
              <w:marTop w:val="0"/>
              <w:marBottom w:val="0"/>
              <w:divBdr>
                <w:top w:val="none" w:sz="0" w:space="0" w:color="auto"/>
                <w:left w:val="none" w:sz="0" w:space="0" w:color="auto"/>
                <w:bottom w:val="none" w:sz="0" w:space="0" w:color="auto"/>
                <w:right w:val="none" w:sz="0" w:space="0" w:color="auto"/>
              </w:divBdr>
            </w:div>
            <w:div w:id="1164862122">
              <w:marLeft w:val="0"/>
              <w:marRight w:val="0"/>
              <w:marTop w:val="0"/>
              <w:marBottom w:val="0"/>
              <w:divBdr>
                <w:top w:val="none" w:sz="0" w:space="0" w:color="auto"/>
                <w:left w:val="none" w:sz="0" w:space="0" w:color="auto"/>
                <w:bottom w:val="none" w:sz="0" w:space="0" w:color="auto"/>
                <w:right w:val="none" w:sz="0" w:space="0" w:color="auto"/>
              </w:divBdr>
            </w:div>
            <w:div w:id="924605726">
              <w:marLeft w:val="0"/>
              <w:marRight w:val="0"/>
              <w:marTop w:val="0"/>
              <w:marBottom w:val="0"/>
              <w:divBdr>
                <w:top w:val="none" w:sz="0" w:space="0" w:color="auto"/>
                <w:left w:val="none" w:sz="0" w:space="0" w:color="auto"/>
                <w:bottom w:val="none" w:sz="0" w:space="0" w:color="auto"/>
                <w:right w:val="none" w:sz="0" w:space="0" w:color="auto"/>
              </w:divBdr>
            </w:div>
            <w:div w:id="1777604262">
              <w:marLeft w:val="0"/>
              <w:marRight w:val="0"/>
              <w:marTop w:val="0"/>
              <w:marBottom w:val="0"/>
              <w:divBdr>
                <w:top w:val="none" w:sz="0" w:space="0" w:color="auto"/>
                <w:left w:val="none" w:sz="0" w:space="0" w:color="auto"/>
                <w:bottom w:val="none" w:sz="0" w:space="0" w:color="auto"/>
                <w:right w:val="none" w:sz="0" w:space="0" w:color="auto"/>
              </w:divBdr>
            </w:div>
            <w:div w:id="1878816511">
              <w:marLeft w:val="0"/>
              <w:marRight w:val="0"/>
              <w:marTop w:val="0"/>
              <w:marBottom w:val="0"/>
              <w:divBdr>
                <w:top w:val="none" w:sz="0" w:space="0" w:color="auto"/>
                <w:left w:val="none" w:sz="0" w:space="0" w:color="auto"/>
                <w:bottom w:val="none" w:sz="0" w:space="0" w:color="auto"/>
                <w:right w:val="none" w:sz="0" w:space="0" w:color="auto"/>
              </w:divBdr>
            </w:div>
            <w:div w:id="1381324670">
              <w:marLeft w:val="0"/>
              <w:marRight w:val="0"/>
              <w:marTop w:val="0"/>
              <w:marBottom w:val="0"/>
              <w:divBdr>
                <w:top w:val="none" w:sz="0" w:space="0" w:color="auto"/>
                <w:left w:val="none" w:sz="0" w:space="0" w:color="auto"/>
                <w:bottom w:val="none" w:sz="0" w:space="0" w:color="auto"/>
                <w:right w:val="none" w:sz="0" w:space="0" w:color="auto"/>
              </w:divBdr>
            </w:div>
            <w:div w:id="303706552">
              <w:marLeft w:val="0"/>
              <w:marRight w:val="0"/>
              <w:marTop w:val="0"/>
              <w:marBottom w:val="0"/>
              <w:divBdr>
                <w:top w:val="none" w:sz="0" w:space="0" w:color="auto"/>
                <w:left w:val="none" w:sz="0" w:space="0" w:color="auto"/>
                <w:bottom w:val="none" w:sz="0" w:space="0" w:color="auto"/>
                <w:right w:val="none" w:sz="0" w:space="0" w:color="auto"/>
              </w:divBdr>
            </w:div>
            <w:div w:id="2098016796">
              <w:marLeft w:val="0"/>
              <w:marRight w:val="0"/>
              <w:marTop w:val="0"/>
              <w:marBottom w:val="0"/>
              <w:divBdr>
                <w:top w:val="none" w:sz="0" w:space="0" w:color="auto"/>
                <w:left w:val="none" w:sz="0" w:space="0" w:color="auto"/>
                <w:bottom w:val="none" w:sz="0" w:space="0" w:color="auto"/>
                <w:right w:val="none" w:sz="0" w:space="0" w:color="auto"/>
              </w:divBdr>
            </w:div>
          </w:divsChild>
        </w:div>
        <w:div w:id="67792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Reding</dc:creator>
  <cp:lastModifiedBy>Jared Neal Salyers</cp:lastModifiedBy>
  <cp:revision>17</cp:revision>
  <dcterms:created xsi:type="dcterms:W3CDTF">2015-10-08T15:00:00Z</dcterms:created>
  <dcterms:modified xsi:type="dcterms:W3CDTF">2015-10-14T14:11:00Z</dcterms:modified>
</cp:coreProperties>
</file>